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8" w:rsidRDefault="00173878" w:rsidP="00173878">
      <w:pPr>
        <w:spacing w:line="276" w:lineRule="auto"/>
        <w:jc w:val="center"/>
        <w:outlineLvl w:val="0"/>
        <w:rPr>
          <w:b/>
        </w:rPr>
      </w:pPr>
      <w:r w:rsidRPr="00552CD5">
        <w:rPr>
          <w:b/>
          <w:lang w:val="vi-VN"/>
        </w:rPr>
        <w:t>DANH MỤC</w:t>
      </w:r>
      <w:r w:rsidR="000D4EB2">
        <w:rPr>
          <w:b/>
        </w:rPr>
        <w:t xml:space="preserve"> </w:t>
      </w:r>
      <w:r w:rsidRPr="00552CD5">
        <w:rPr>
          <w:b/>
          <w:lang w:val="vi-VN"/>
        </w:rPr>
        <w:t>VĂN BẢN</w:t>
      </w:r>
      <w:r w:rsidR="00A95F67">
        <w:rPr>
          <w:b/>
        </w:rPr>
        <w:t xml:space="preserve"> QUY PHẠM PHÁP LUẬT</w:t>
      </w:r>
      <w:bookmarkStart w:id="0" w:name="_GoBack"/>
      <w:bookmarkEnd w:id="0"/>
      <w:r w:rsidRPr="00552CD5">
        <w:rPr>
          <w:b/>
          <w:lang w:val="vi-VN"/>
        </w:rPr>
        <w:t xml:space="preserve"> </w:t>
      </w:r>
      <w:r>
        <w:rPr>
          <w:b/>
        </w:rPr>
        <w:t xml:space="preserve">DỰ KIẾN PHÁP ĐIỂN VÀO </w:t>
      </w:r>
      <w:r w:rsidRPr="00552CD5">
        <w:rPr>
          <w:b/>
          <w:lang w:val="vi-VN"/>
        </w:rPr>
        <w:t xml:space="preserve">ĐỀ MỤC </w:t>
      </w:r>
      <w:r>
        <w:rPr>
          <w:b/>
        </w:rPr>
        <w:t>THỦ ĐÔ</w:t>
      </w:r>
    </w:p>
    <w:p w:rsidR="00173878" w:rsidRPr="00BC30D3" w:rsidRDefault="00173878" w:rsidP="00173878">
      <w:pPr>
        <w:spacing w:line="276" w:lineRule="auto"/>
        <w:jc w:val="center"/>
        <w:rPr>
          <w:b/>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0773"/>
        <w:gridCol w:w="3260"/>
      </w:tblGrid>
      <w:tr w:rsidR="00173878" w:rsidRPr="00552CD5" w:rsidTr="0029787D">
        <w:trPr>
          <w:trHeight w:val="917"/>
          <w:tblHeader/>
        </w:trPr>
        <w:tc>
          <w:tcPr>
            <w:tcW w:w="710" w:type="dxa"/>
            <w:vAlign w:val="center"/>
          </w:tcPr>
          <w:p w:rsidR="00173878" w:rsidRPr="00A93585" w:rsidRDefault="00173878" w:rsidP="0029787D">
            <w:pPr>
              <w:jc w:val="center"/>
              <w:rPr>
                <w:b/>
                <w:sz w:val="24"/>
                <w:szCs w:val="24"/>
              </w:rPr>
            </w:pPr>
            <w:r>
              <w:rPr>
                <w:b/>
                <w:sz w:val="24"/>
                <w:szCs w:val="24"/>
              </w:rPr>
              <w:t>STT</w:t>
            </w:r>
          </w:p>
        </w:tc>
        <w:tc>
          <w:tcPr>
            <w:tcW w:w="10773" w:type="dxa"/>
            <w:vAlign w:val="center"/>
          </w:tcPr>
          <w:p w:rsidR="00173878" w:rsidRPr="00552CD5" w:rsidRDefault="00173878" w:rsidP="0029787D">
            <w:pPr>
              <w:spacing w:line="276" w:lineRule="auto"/>
              <w:jc w:val="center"/>
              <w:rPr>
                <w:b/>
                <w:sz w:val="24"/>
                <w:szCs w:val="24"/>
              </w:rPr>
            </w:pPr>
            <w:r w:rsidRPr="00552CD5">
              <w:rPr>
                <w:b/>
                <w:sz w:val="24"/>
                <w:szCs w:val="24"/>
              </w:rPr>
              <w:t>Văn bản thuộc nội dung của đề mục</w:t>
            </w:r>
          </w:p>
        </w:tc>
        <w:tc>
          <w:tcPr>
            <w:tcW w:w="3260" w:type="dxa"/>
            <w:vAlign w:val="center"/>
          </w:tcPr>
          <w:p w:rsidR="00173878" w:rsidRPr="00552CD5" w:rsidRDefault="00173878" w:rsidP="0029787D">
            <w:pPr>
              <w:spacing w:line="276" w:lineRule="auto"/>
              <w:ind w:left="1168" w:hanging="1168"/>
              <w:jc w:val="center"/>
              <w:rPr>
                <w:b/>
                <w:sz w:val="24"/>
                <w:szCs w:val="24"/>
              </w:rPr>
            </w:pPr>
            <w:r w:rsidRPr="00552CD5">
              <w:rPr>
                <w:b/>
                <w:sz w:val="24"/>
                <w:szCs w:val="24"/>
              </w:rPr>
              <w:t xml:space="preserve">Cơ quan </w:t>
            </w:r>
            <w:r>
              <w:rPr>
                <w:b/>
                <w:sz w:val="24"/>
                <w:szCs w:val="24"/>
              </w:rPr>
              <w:t>thực hiện pháp điển</w:t>
            </w:r>
          </w:p>
        </w:tc>
      </w:tr>
      <w:tr w:rsidR="00173878" w:rsidRPr="00552CD5" w:rsidTr="0029787D">
        <w:trPr>
          <w:trHeight w:val="620"/>
        </w:trPr>
        <w:tc>
          <w:tcPr>
            <w:tcW w:w="710" w:type="dxa"/>
            <w:vAlign w:val="center"/>
          </w:tcPr>
          <w:p w:rsidR="00173878" w:rsidRPr="00193813"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68699B" w:rsidRDefault="00173878" w:rsidP="0029787D">
            <w:pPr>
              <w:spacing w:before="60" w:after="60"/>
              <w:jc w:val="both"/>
              <w:rPr>
                <w:sz w:val="24"/>
                <w:szCs w:val="24"/>
              </w:rPr>
            </w:pPr>
            <w:r w:rsidRPr="0068699B">
              <w:rPr>
                <w:sz w:val="24"/>
                <w:szCs w:val="24"/>
              </w:rPr>
              <w:t xml:space="preserve">Luật Thủ đô số </w:t>
            </w:r>
            <w:r w:rsidRPr="0068699B">
              <w:rPr>
                <w:sz w:val="24"/>
                <w:szCs w:val="24"/>
                <w:lang w:val="en-GB"/>
              </w:rPr>
              <w:t xml:space="preserve">25/2012/QH13 </w:t>
            </w:r>
            <w:r w:rsidRPr="0068699B">
              <w:rPr>
                <w:sz w:val="24"/>
                <w:szCs w:val="24"/>
              </w:rPr>
              <w:t xml:space="preserve">ngày 21/11/2012 </w:t>
            </w:r>
          </w:p>
        </w:tc>
        <w:tc>
          <w:tcPr>
            <w:tcW w:w="3260" w:type="dxa"/>
            <w:vAlign w:val="center"/>
          </w:tcPr>
          <w:p w:rsidR="00173878" w:rsidRPr="0068699B" w:rsidRDefault="00173878" w:rsidP="0029787D">
            <w:pPr>
              <w:spacing w:before="60" w:after="60"/>
              <w:jc w:val="center"/>
              <w:rPr>
                <w:sz w:val="24"/>
                <w:szCs w:val="24"/>
              </w:rPr>
            </w:pPr>
            <w:r w:rsidRPr="0068699B">
              <w:rPr>
                <w:sz w:val="24"/>
                <w:szCs w:val="24"/>
              </w:rPr>
              <w:t>Bộ Tư pháp</w:t>
            </w:r>
          </w:p>
        </w:tc>
      </w:tr>
      <w:tr w:rsidR="00173878" w:rsidRPr="00552CD5" w:rsidTr="0029787D">
        <w:trPr>
          <w:trHeight w:val="620"/>
        </w:trPr>
        <w:tc>
          <w:tcPr>
            <w:tcW w:w="710" w:type="dxa"/>
            <w:vAlign w:val="center"/>
          </w:tcPr>
          <w:p w:rsidR="00173878" w:rsidRPr="00193813"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3232AA" w:rsidRDefault="00173878" w:rsidP="0029787D">
            <w:pPr>
              <w:spacing w:before="60" w:after="60"/>
              <w:jc w:val="both"/>
              <w:rPr>
                <w:sz w:val="24"/>
                <w:szCs w:val="24"/>
                <w:shd w:val="clear" w:color="auto" w:fill="FFFFFF"/>
              </w:rPr>
            </w:pPr>
            <w:r w:rsidRPr="003232AA">
              <w:rPr>
                <w:sz w:val="24"/>
                <w:szCs w:val="24"/>
                <w:shd w:val="clear" w:color="auto" w:fill="FFFFFF"/>
              </w:rPr>
              <w:t xml:space="preserve">Quyết định số 61/2015/QĐ-TTg ngày 29/11/2015 của Thủ tướng Chính phủ về một số cơ chế, chính sách đặc thù đầu tư phát triển đô thị hai bên tuyến đường Võ Nguyên Giáp (Nhật Tân </w:t>
            </w:r>
            <w:r>
              <w:rPr>
                <w:sz w:val="24"/>
                <w:szCs w:val="24"/>
                <w:shd w:val="clear" w:color="auto" w:fill="FFFFFF"/>
              </w:rPr>
              <w:t>-</w:t>
            </w:r>
            <w:r w:rsidRPr="003232AA">
              <w:rPr>
                <w:sz w:val="24"/>
                <w:szCs w:val="24"/>
                <w:shd w:val="clear" w:color="auto" w:fill="FFFFFF"/>
              </w:rPr>
              <w:t xml:space="preserve"> Nội Bài)</w:t>
            </w:r>
          </w:p>
        </w:tc>
        <w:tc>
          <w:tcPr>
            <w:tcW w:w="3260" w:type="dxa"/>
            <w:vAlign w:val="center"/>
          </w:tcPr>
          <w:p w:rsidR="00173878" w:rsidRPr="00552CD5" w:rsidRDefault="00173878" w:rsidP="0029787D">
            <w:pPr>
              <w:spacing w:before="60" w:after="60"/>
              <w:jc w:val="center"/>
              <w:rPr>
                <w:sz w:val="24"/>
                <w:szCs w:val="24"/>
              </w:rPr>
            </w:pPr>
            <w:r>
              <w:rPr>
                <w:sz w:val="24"/>
                <w:szCs w:val="24"/>
              </w:rPr>
              <w:t>Bộ Kế hoạch và Đầu tư</w:t>
            </w:r>
          </w:p>
        </w:tc>
      </w:tr>
      <w:tr w:rsidR="00173878" w:rsidRPr="00552CD5" w:rsidTr="0029787D">
        <w:trPr>
          <w:trHeight w:val="620"/>
        </w:trPr>
        <w:tc>
          <w:tcPr>
            <w:tcW w:w="710" w:type="dxa"/>
            <w:vAlign w:val="center"/>
          </w:tcPr>
          <w:p w:rsidR="00173878" w:rsidRPr="00193813"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3232AA" w:rsidRDefault="00173878" w:rsidP="0029787D">
            <w:pPr>
              <w:spacing w:before="60" w:after="60"/>
              <w:jc w:val="both"/>
              <w:rPr>
                <w:sz w:val="24"/>
                <w:szCs w:val="24"/>
                <w:shd w:val="clear" w:color="auto" w:fill="FFFFFF"/>
              </w:rPr>
            </w:pPr>
            <w:r w:rsidRPr="003232AA">
              <w:rPr>
                <w:sz w:val="24"/>
                <w:szCs w:val="24"/>
                <w:shd w:val="clear" w:color="auto" w:fill="FFFFFF"/>
              </w:rPr>
              <w:t>Thông tư số 51/2014/TT-BTNMT ngày 05/9/2014 của Bộ Tài nguyên và Môi trường Quy định Quy chuẩn kỹ thuật về môi trường trên địa bàn Thủ đô Hà Nội</w:t>
            </w:r>
          </w:p>
        </w:tc>
        <w:tc>
          <w:tcPr>
            <w:tcW w:w="3260" w:type="dxa"/>
            <w:vAlign w:val="center"/>
          </w:tcPr>
          <w:p w:rsidR="00173878" w:rsidRPr="00552CD5" w:rsidRDefault="00173878" w:rsidP="0029787D">
            <w:pPr>
              <w:spacing w:before="60" w:after="60"/>
              <w:jc w:val="center"/>
              <w:rPr>
                <w:sz w:val="24"/>
                <w:szCs w:val="24"/>
              </w:rPr>
            </w:pPr>
            <w:r>
              <w:rPr>
                <w:sz w:val="24"/>
                <w:szCs w:val="24"/>
              </w:rPr>
              <w:t>Bộ Tài nguyên và Môi trường</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 số 03/2013/NQ-HĐND</w:t>
            </w:r>
            <w:r>
              <w:rPr>
                <w:sz w:val="24"/>
                <w:szCs w:val="24"/>
              </w:rPr>
              <w:t xml:space="preserve"> </w:t>
            </w:r>
            <w:r w:rsidRPr="002A416D">
              <w:rPr>
                <w:sz w:val="24"/>
                <w:szCs w:val="24"/>
              </w:rPr>
              <w:t xml:space="preserve">ngày 12/7/2013 của HĐND Thành phố Hà Nội </w:t>
            </w:r>
            <w:r>
              <w:rPr>
                <w:spacing w:val="-2"/>
                <w:sz w:val="24"/>
                <w:szCs w:val="24"/>
              </w:rPr>
              <w:t>v</w:t>
            </w:r>
            <w:r w:rsidRPr="002A416D">
              <w:rPr>
                <w:spacing w:val="-2"/>
                <w:sz w:val="24"/>
                <w:szCs w:val="24"/>
              </w:rPr>
              <w:t>ề việc ưu tiên phát triển hệ thống vận tải hành khách công cộng khối lượng lớn; khuyến khích đầu tư xây dựng, khai thác bến xe, bãi đỗ xe ô tô và các phương tiện cơ giới khác; áp dụng công nghệ cao trong quản lý, điều hành hệ thống giao thông vận tải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 số 04/2013/NQ-HĐND</w:t>
            </w:r>
            <w:r>
              <w:rPr>
                <w:sz w:val="24"/>
                <w:szCs w:val="24"/>
              </w:rPr>
              <w:t xml:space="preserve"> </w:t>
            </w:r>
            <w:r w:rsidRPr="002A416D">
              <w:rPr>
                <w:sz w:val="24"/>
                <w:szCs w:val="24"/>
              </w:rPr>
              <w:t xml:space="preserve">ngày 12/7/2013 của HĐND Thành phố Hà Nội </w:t>
            </w:r>
            <w:r>
              <w:rPr>
                <w:sz w:val="24"/>
                <w:szCs w:val="24"/>
              </w:rPr>
              <w:t>v</w:t>
            </w:r>
            <w:r w:rsidRPr="002A416D">
              <w:rPr>
                <w:sz w:val="24"/>
                <w:szCs w:val="24"/>
              </w:rPr>
              <w:t>ề chính sách ưu đãi đối với tổ chức, cá nhân đầu tư phát triển khoa học và công nghệ và các nhà khoa học và công nghệ tham gia thực hiện chương trình khoa học và công nghệ trọng điểm của Thủ đô</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 số 06/2013/NQ-HĐND ngày 12/7/2013 của HĐND Thành phố Hà Nội quy định tỷ lệ diện tích đất ở, nhà ở để phát triển nhà ở xã hội trong các dự án phát triền nhà thương mại, khu đô thị mới trên địa bàn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 số 07/2013/NQ-HĐND ngày 12/7/2013 của HĐND Thành phố Hà Nội về chính sách ưu tiên đầu tư và huy động các nguồn lực đầu tư xây dựng các khu đô thị, nhà ở, hệ thống hạ tầng kỹ thuật, hạ tầng xã hội đồng bộ, hiện đại, thuận tiện ở ngoại thành</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316"/>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 số 09/2013/NQ-HĐND ngày17/7/2013 của HĐND Thành phố Hà Nộivề các biện pháp bảo đảm việc thực hiện thu hồi đất, giải phóng mặt bằng kịp thời, đúng tiến độ đối với các dự án đầu tư quan trọng trên địa bàn Thủ đô</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w:t>
            </w:r>
            <w:r w:rsidRPr="002A416D">
              <w:rPr>
                <w:sz w:val="24"/>
                <w:szCs w:val="24"/>
              </w:rPr>
              <w:t>10/2013/NQ-HĐND ngày 17/7/2013 của HĐND Thành phố</w:t>
            </w:r>
            <w:r>
              <w:rPr>
                <w:sz w:val="24"/>
                <w:szCs w:val="24"/>
              </w:rPr>
              <w:t xml:space="preserve"> Hà Nộiv</w:t>
            </w:r>
            <w:r w:rsidRPr="002A416D">
              <w:rPr>
                <w:sz w:val="24"/>
                <w:szCs w:val="24"/>
              </w:rPr>
              <w:t>ề thẩm quyền, điều kiện, thủ tục tặng danh hiệu Công dân danh dự Thủ đô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w:t>
            </w:r>
            <w:r w:rsidRPr="002A416D">
              <w:rPr>
                <w:sz w:val="24"/>
                <w:szCs w:val="24"/>
              </w:rPr>
              <w:t>11/2013/NQ-HĐND ngày 17/7/2013 của HĐND Thành phố</w:t>
            </w:r>
            <w:r>
              <w:rPr>
                <w:sz w:val="24"/>
                <w:szCs w:val="24"/>
              </w:rPr>
              <w:t>Hà Nội q</w:t>
            </w:r>
            <w:r w:rsidRPr="002A416D">
              <w:rPr>
                <w:sz w:val="24"/>
                <w:szCs w:val="24"/>
              </w:rPr>
              <w:t>uy định diện tích ở bình quân đối với nhà thuê ở nội thànhđể công dân được đăng ký thường trú ở nội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w:t>
            </w:r>
            <w:r w:rsidRPr="002A416D">
              <w:rPr>
                <w:sz w:val="24"/>
                <w:szCs w:val="24"/>
              </w:rPr>
              <w:t>14/2013/NQ-HĐND ngày 17/7/2013 của HĐND Thành phố</w:t>
            </w:r>
            <w:r>
              <w:rPr>
                <w:sz w:val="24"/>
                <w:szCs w:val="24"/>
              </w:rPr>
              <w:t>Hà Nội v</w:t>
            </w:r>
            <w:r w:rsidRPr="002A416D">
              <w:rPr>
                <w:sz w:val="24"/>
                <w:szCs w:val="24"/>
              </w:rPr>
              <w:t>ề chính sách trọng dụng nhân tài trong xây dựng, phát triển Thủ đô</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w:t>
            </w:r>
            <w:r w:rsidRPr="002A416D">
              <w:rPr>
                <w:sz w:val="24"/>
                <w:szCs w:val="24"/>
              </w:rPr>
              <w:t>15/2013/NQ-HĐND ngày 17/7/2013 của HĐND Thành phố</w:t>
            </w:r>
            <w:r>
              <w:rPr>
                <w:sz w:val="24"/>
                <w:szCs w:val="24"/>
              </w:rPr>
              <w:t>Hà Nội v</w:t>
            </w:r>
            <w:r w:rsidRPr="002A416D">
              <w:rPr>
                <w:sz w:val="24"/>
                <w:szCs w:val="24"/>
              </w:rPr>
              <w:t>ề cơ chế tài chính áp dụng đối với cơ sở giáo dục công lập chất lượng cao trên địa bàn Thủ đô</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F63C18" w:rsidRDefault="00173878" w:rsidP="0029787D">
            <w:pPr>
              <w:spacing w:before="60" w:after="60"/>
              <w:jc w:val="both"/>
              <w:rPr>
                <w:sz w:val="24"/>
                <w:szCs w:val="24"/>
              </w:rPr>
            </w:pPr>
            <w:r w:rsidRPr="00F63C18">
              <w:rPr>
                <w:sz w:val="24"/>
                <w:szCs w:val="24"/>
              </w:rPr>
              <w:t xml:space="preserve">Nghị quyết số16/2013/NQ-HĐND ngày 17/7/2013 của HĐND Thành phốHà Nội về </w:t>
            </w:r>
            <w:hyperlink r:id="rId8" w:history="1">
              <w:r w:rsidRPr="00F63C18">
                <w:rPr>
                  <w:sz w:val="24"/>
                  <w:szCs w:val="24"/>
                </w:rPr>
                <w:t>chính sách khuyến khích đầu tư, huy động đóng góp tự nguyện của tổ chức, cá nhân vào việc xây dựng công trình văn hóa, công viên, vườn hoa, khu vui chơi giải trí và bảo tồn, tôn tạo, phát huy giá trị di sản văn hóa trên địa bàn Thủ đô Hà Nội</w:t>
              </w:r>
            </w:hyperlink>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 </w:t>
            </w:r>
            <w:r w:rsidRPr="002A416D">
              <w:rPr>
                <w:sz w:val="24"/>
                <w:szCs w:val="24"/>
              </w:rPr>
              <w:t>17/2013/NQ-HĐND ngày 23/7/2013 của HĐND Thành phố</w:t>
            </w:r>
            <w:r>
              <w:rPr>
                <w:sz w:val="24"/>
                <w:szCs w:val="24"/>
              </w:rPr>
              <w:t>Hà Nội v</w:t>
            </w:r>
            <w:r w:rsidRPr="002A416D">
              <w:rPr>
                <w:sz w:val="24"/>
                <w:szCs w:val="24"/>
              </w:rPr>
              <w:t>ề biện pháp cải tạo, xây dựng lại khu chung cư cũ, nhà cũ xuống cấp; cải tạo, phục hồi nhà cổ, biệt thự cũ và công trình kiến trúc khác xây dựng trước năm 1954 trên địa bàn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 </w:t>
            </w:r>
            <w:r w:rsidRPr="002A416D">
              <w:rPr>
                <w:sz w:val="24"/>
                <w:szCs w:val="24"/>
              </w:rPr>
              <w:t>24/2013/NQ-HĐND ngày 04/12/2013 của HĐND Thành phố</w:t>
            </w:r>
            <w:r>
              <w:rPr>
                <w:sz w:val="24"/>
                <w:szCs w:val="24"/>
              </w:rPr>
              <w:t xml:space="preserve"> Hà Nội </w:t>
            </w:r>
            <w:hyperlink r:id="rId9" w:history="1">
              <w:r>
                <w:rPr>
                  <w:sz w:val="24"/>
                  <w:szCs w:val="24"/>
                </w:rPr>
                <w:t>v</w:t>
              </w:r>
              <w:r w:rsidRPr="002A416D">
                <w:rPr>
                  <w:sz w:val="24"/>
                  <w:szCs w:val="24"/>
                </w:rPr>
                <w:t>ề Danh mục phố cổ, làng cổ, làng nghề truyền thống tiêu biểu, biệt thự cũ, công trình kiến trúc khác xây dựng trước năm 1954 và di sản văn hóa phi vật thể trên địa bàn Thủ đô cần tập trung nguồn lực để bảo tồn và phát huy giá trị văn hóa do Thành phố Hà Nội ban hành</w:t>
              </w:r>
            </w:hyperlink>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 </w:t>
            </w:r>
            <w:r w:rsidR="000D4EB2">
              <w:rPr>
                <w:sz w:val="24"/>
                <w:szCs w:val="24"/>
              </w:rPr>
              <w:t xml:space="preserve">07/2014/NQ-HĐND </w:t>
            </w:r>
            <w:r w:rsidRPr="002A416D">
              <w:rPr>
                <w:sz w:val="24"/>
                <w:szCs w:val="24"/>
              </w:rPr>
              <w:t>ngày 11/7/2014 của HĐND Thành phố</w:t>
            </w:r>
            <w:r>
              <w:rPr>
                <w:sz w:val="24"/>
                <w:szCs w:val="24"/>
              </w:rPr>
              <w:t xml:space="preserve"> Hà Nộiq</w:t>
            </w:r>
            <w:r w:rsidRPr="002A416D">
              <w:rPr>
                <w:sz w:val="24"/>
                <w:szCs w:val="24"/>
              </w:rPr>
              <w:t>uy định mức tiền phạt đối với một số hành vi vi phạm hành chính trong lĩnh vực xây dựng</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Nghị quyết</w:t>
            </w:r>
            <w:r>
              <w:rPr>
                <w:sz w:val="24"/>
                <w:szCs w:val="24"/>
              </w:rPr>
              <w:t xml:space="preserve"> số </w:t>
            </w:r>
            <w:r w:rsidRPr="002A416D">
              <w:rPr>
                <w:sz w:val="24"/>
                <w:szCs w:val="24"/>
              </w:rPr>
              <w:t>08/2014/NQ-HĐND ngày 11/7/2014 của HĐND Thành phố</w:t>
            </w:r>
            <w:r>
              <w:rPr>
                <w:sz w:val="24"/>
                <w:szCs w:val="24"/>
              </w:rPr>
              <w:t xml:space="preserve"> Hà Nội q</w:t>
            </w:r>
            <w:r w:rsidRPr="002A416D">
              <w:rPr>
                <w:sz w:val="24"/>
                <w:szCs w:val="24"/>
              </w:rPr>
              <w:t>uy định mức tiền phạt đối với một số hành vi vi phạm hành chính trong lĩnh vực văn hóa</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343"/>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20/2013/QĐ-UBND ngày 24/6/2013 của UBND Thành phố</w:t>
            </w:r>
            <w:r>
              <w:rPr>
                <w:sz w:val="24"/>
                <w:szCs w:val="24"/>
              </w:rPr>
              <w:t xml:space="preserve"> Hà Nội</w:t>
            </w:r>
            <w:hyperlink r:id="rId10" w:history="1">
              <w:r>
                <w:rPr>
                  <w:sz w:val="24"/>
                  <w:szCs w:val="24"/>
                </w:rPr>
                <w:t> q</w:t>
              </w:r>
              <w:r w:rsidRPr="002A416D">
                <w:rPr>
                  <w:sz w:val="24"/>
                  <w:szCs w:val="24"/>
                </w:rPr>
                <w:t>uy định cụ thể tiêu chí về cơ sở vật chất, đội ngũ giáo viên, chương trình, phương pháp giảng dạy và dịch vụ giáo dục chất lượng cao áp dụng tại cơ sở giáo dục mầm non, giáo dục phổ thông chất lượng cao do Thành phố Hà Nội ban hành</w:t>
              </w:r>
            </w:hyperlink>
          </w:p>
        </w:tc>
        <w:tc>
          <w:tcPr>
            <w:tcW w:w="3260" w:type="dxa"/>
            <w:vAlign w:val="center"/>
          </w:tcPr>
          <w:p w:rsidR="00173878" w:rsidRPr="00FC4056" w:rsidRDefault="00173878" w:rsidP="0029787D">
            <w:pPr>
              <w:spacing w:before="60" w:after="60"/>
              <w:jc w:val="center"/>
              <w:rPr>
                <w:sz w:val="24"/>
                <w:szCs w:val="24"/>
              </w:rPr>
            </w:pPr>
            <w:r w:rsidRPr="00FC4056">
              <w:rPr>
                <w:sz w:val="24"/>
                <w:szCs w:val="24"/>
              </w:rPr>
              <w:t>UBND thành phố Hà Nội</w:t>
            </w:r>
          </w:p>
        </w:tc>
      </w:tr>
      <w:tr w:rsidR="00173878" w:rsidRPr="00552CD5" w:rsidTr="0029787D">
        <w:trPr>
          <w:trHeight w:val="343"/>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21/2013/QĐ-UBND ngày 24/6/2013 của UBND Thành phố</w:t>
            </w:r>
            <w:r>
              <w:rPr>
                <w:sz w:val="24"/>
                <w:szCs w:val="24"/>
              </w:rPr>
              <w:t xml:space="preserve"> Hà Nội</w:t>
            </w:r>
            <w:hyperlink r:id="rId11" w:history="1">
              <w:r>
                <w:rPr>
                  <w:sz w:val="24"/>
                  <w:szCs w:val="24"/>
                </w:rPr>
                <w:t>q</w:t>
              </w:r>
              <w:r w:rsidRPr="002A416D">
                <w:rPr>
                  <w:sz w:val="24"/>
                  <w:szCs w:val="24"/>
                </w:rPr>
                <w:t>uy định bổ sung chương trình giảng dạy nâng cao, ngoài chương trình giáo dục mầm non, giáo dục phổ thông để áp dụng đối với các cơ sở giáo dục mầm non, giáo dục phổ thông chất lượng cao</w:t>
              </w:r>
            </w:hyperlink>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rFonts w:eastAsia="Calibri"/>
                <w:sz w:val="24"/>
                <w:szCs w:val="24"/>
              </w:rPr>
              <w:t>52/2013/QĐ-UBND Ngày 28/11/2013 của UBND Thành phố</w:t>
            </w:r>
            <w:r>
              <w:rPr>
                <w:rFonts w:eastAsia="Calibri"/>
                <w:sz w:val="24"/>
                <w:szCs w:val="24"/>
              </w:rPr>
              <w:t xml:space="preserve"> Hà Nội</w:t>
            </w:r>
            <w:r w:rsidRPr="002A416D">
              <w:rPr>
                <w:rFonts w:eastAsia="Calibri"/>
                <w:color w:val="000000"/>
                <w:sz w:val="24"/>
                <w:szCs w:val="24"/>
              </w:rPr>
              <w:t xml:space="preserve">về </w:t>
            </w:r>
            <w:r>
              <w:rPr>
                <w:rFonts w:eastAsia="Calibri"/>
                <w:color w:val="000000"/>
                <w:sz w:val="24"/>
                <w:szCs w:val="24"/>
              </w:rPr>
              <w:t xml:space="preserve">việc ban hành </w:t>
            </w:r>
            <w:r w:rsidRPr="002A416D">
              <w:rPr>
                <w:rFonts w:eastAsia="Calibri"/>
                <w:color w:val="000000"/>
                <w:sz w:val="24"/>
                <w:szCs w:val="24"/>
              </w:rPr>
              <w:t>Quy chế quản lý, sử dụng</w:t>
            </w:r>
            <w:r w:rsidRPr="002A416D">
              <w:rPr>
                <w:rFonts w:eastAsia="Calibri"/>
                <w:sz w:val="24"/>
                <w:szCs w:val="24"/>
              </w:rPr>
              <w:t xml:space="preserve"> nhà biệt thự cũ được xây dựng từ trước năm 1954 trên địa bàn Thành phố.</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18/2014/QĐ-UBND ngày 21/4/2014 của UBND Thành phố</w:t>
            </w:r>
            <w:r>
              <w:rPr>
                <w:sz w:val="24"/>
                <w:szCs w:val="24"/>
              </w:rPr>
              <w:t xml:space="preserve"> Hà Nộip</w:t>
            </w:r>
            <w:r w:rsidRPr="002A416D">
              <w:rPr>
                <w:sz w:val="24"/>
                <w:szCs w:val="24"/>
              </w:rPr>
              <w:t>hê duyệt phương án giá vé vận tải hành khách cộng cộng bằng xe buýt có trợ giá trên địa bàn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số31/2014/QĐ-UBND n</w:t>
            </w:r>
            <w:r w:rsidRPr="002A416D">
              <w:rPr>
                <w:sz w:val="24"/>
                <w:szCs w:val="24"/>
              </w:rPr>
              <w:t>gày 04/8/2014 của UBNDThành phố</w:t>
            </w:r>
            <w:r>
              <w:rPr>
                <w:sz w:val="24"/>
                <w:szCs w:val="24"/>
              </w:rPr>
              <w:t>Hà Nội v</w:t>
            </w:r>
            <w:r w:rsidRPr="002A416D">
              <w:rPr>
                <w:sz w:val="24"/>
                <w:szCs w:val="24"/>
              </w:rPr>
              <w:t>ề việc ban hành quy định về chính sách khuyến khích phát triển làng nghề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32/2014/QĐ-UBND n</w:t>
            </w:r>
            <w:r w:rsidRPr="002A416D">
              <w:rPr>
                <w:sz w:val="24"/>
                <w:szCs w:val="24"/>
              </w:rPr>
              <w:t>gày 04/8/2014 của UBNDThành phố</w:t>
            </w:r>
            <w:r>
              <w:rPr>
                <w:sz w:val="24"/>
                <w:szCs w:val="24"/>
              </w:rPr>
              <w:t xml:space="preserve"> Hà Nộiv</w:t>
            </w:r>
            <w:r w:rsidRPr="002A416D">
              <w:rPr>
                <w:sz w:val="24"/>
                <w:szCs w:val="24"/>
              </w:rPr>
              <w:t xml:space="preserve">ề việc ban hành Quy định chính sách hỗ trợ đầu tư công trình cấp nước </w:t>
            </w:r>
            <w:r>
              <w:rPr>
                <w:sz w:val="24"/>
                <w:szCs w:val="24"/>
              </w:rPr>
              <w:t>sạch nông thôn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C14418" w:rsidRDefault="00173878" w:rsidP="0029787D">
            <w:pPr>
              <w:spacing w:before="60" w:after="60"/>
              <w:jc w:val="both"/>
              <w:rPr>
                <w:spacing w:val="-4"/>
                <w:sz w:val="24"/>
                <w:szCs w:val="24"/>
              </w:rPr>
            </w:pPr>
            <w:r w:rsidRPr="00C14418">
              <w:rPr>
                <w:spacing w:val="-4"/>
                <w:sz w:val="24"/>
                <w:szCs w:val="24"/>
              </w:rPr>
              <w:t xml:space="preserve">Quyết định số </w:t>
            </w:r>
            <w:r w:rsidRPr="00C14418">
              <w:rPr>
                <w:color w:val="000000"/>
                <w:spacing w:val="-4"/>
                <w:sz w:val="24"/>
                <w:szCs w:val="24"/>
              </w:rPr>
              <w:t>75/2014/QĐ-UBND ngày 08/10/2014 của UBND Thành phố Hà Nộiphê duyệt cơ chế thực hiện tiền lương và tạo nguồn cải cách tiền lương đối với các cơ sở giáo dục công lập chất lượng cao theo Luật Thủ Đô</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số </w:t>
            </w:r>
            <w:r w:rsidRPr="002A416D">
              <w:rPr>
                <w:sz w:val="24"/>
                <w:szCs w:val="24"/>
              </w:rPr>
              <w:t>11/2015/QĐ-UBND ngày 19/5/2015 của UBND Thành phố</w:t>
            </w:r>
            <w:r>
              <w:rPr>
                <w:sz w:val="24"/>
                <w:szCs w:val="24"/>
              </w:rPr>
              <w:t xml:space="preserve"> Hà Nội v</w:t>
            </w:r>
            <w:r w:rsidRPr="002A416D">
              <w:rPr>
                <w:sz w:val="24"/>
                <w:szCs w:val="24"/>
              </w:rPr>
              <w:t>ề việc ban hành Quy định về chính sách khuyến khích xã hội hóa trong lĩnh vực giáo dục - đào tạo, dạy nghề, y tế, văn hóa, thể dục thể thao, môi trường, giám định tư pháp trên địa bàn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số </w:t>
            </w:r>
            <w:r w:rsidRPr="002A416D">
              <w:rPr>
                <w:sz w:val="24"/>
                <w:szCs w:val="24"/>
              </w:rPr>
              <w:t xml:space="preserve">24/2015/QĐ-UBND </w:t>
            </w:r>
            <w:r w:rsidRPr="002A416D">
              <w:rPr>
                <w:iCs/>
                <w:color w:val="000000"/>
                <w:sz w:val="24"/>
                <w:szCs w:val="24"/>
                <w:shd w:val="clear" w:color="auto" w:fill="FFFFFF"/>
              </w:rPr>
              <w:t>ngày 13/08/2015 của UBND Thành phố</w:t>
            </w:r>
            <w:hyperlink r:id="rId12" w:history="1">
              <w:r w:rsidRPr="002A416D">
                <w:rPr>
                  <w:sz w:val="24"/>
                  <w:szCs w:val="24"/>
                </w:rPr>
                <w:t> </w:t>
              </w:r>
              <w:r>
                <w:rPr>
                  <w:sz w:val="24"/>
                  <w:szCs w:val="24"/>
                </w:rPr>
                <w:t>Hà Nội v</w:t>
              </w:r>
              <w:r w:rsidRPr="002A416D">
                <w:rPr>
                  <w:sz w:val="24"/>
                  <w:szCs w:val="24"/>
                </w:rPr>
                <w:t>ề</w:t>
              </w:r>
              <w:r>
                <w:rPr>
                  <w:sz w:val="24"/>
                  <w:szCs w:val="24"/>
                </w:rPr>
                <w:t xml:space="preserve"> việc ban hành</w:t>
              </w:r>
              <w:r w:rsidRPr="002A416D">
                <w:rPr>
                  <w:sz w:val="24"/>
                  <w:szCs w:val="24"/>
                </w:rPr>
                <w:t xml:space="preserve"> Quy chế quản lý quy hoạch, kiến trúc Khu phố cũ Hà Nội</w:t>
              </w:r>
            </w:hyperlink>
            <w:r w:rsidRPr="002A416D">
              <w:rPr>
                <w:sz w:val="24"/>
                <w:szCs w:val="24"/>
              </w:rPr>
              <w:t>.</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316"/>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26/2015/QĐ-UBND ngày 14/9/2015 của UBND Thành phố</w:t>
            </w:r>
            <w:r>
              <w:rPr>
                <w:sz w:val="24"/>
                <w:szCs w:val="24"/>
              </w:rPr>
              <w:t xml:space="preserve"> Hà Nội </w:t>
            </w:r>
            <w:hyperlink r:id="rId13" w:history="1">
              <w:r>
                <w:rPr>
                  <w:sz w:val="24"/>
                  <w:szCs w:val="24"/>
                </w:rPr>
                <w:t>q</w:t>
              </w:r>
              <w:r w:rsidRPr="002A416D">
                <w:rPr>
                  <w:sz w:val="24"/>
                  <w:szCs w:val="24"/>
                </w:rPr>
                <w:t>uy định về quy trình tổ chức tiếp nhận, quản lý và sử dụng các khoản huy động đóng góp tự nguyện của tổ chức, cá nhân vào việc xây dựng công trình văn hóa, công viên, vườn hoa, khu vui chơi giải trí không có khả năng kinh doanh và bảo tồn, tôn tạo phát huy giá trị văn hóa trên địa bàn thành phố Hà Nội</w:t>
              </w:r>
            </w:hyperlink>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620"/>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39/2015/QĐ-UBND ngày 30/12/2015 UBND Thành phố</w:t>
            </w:r>
            <w:r>
              <w:rPr>
                <w:sz w:val="24"/>
                <w:szCs w:val="24"/>
              </w:rPr>
              <w:t xml:space="preserve"> Hà Nộib</w:t>
            </w:r>
            <w:r w:rsidRPr="002A416D">
              <w:rPr>
                <w:sz w:val="24"/>
                <w:szCs w:val="24"/>
              </w:rPr>
              <w:t>an hành Quy định trách nhiệm quản lý chất lượng và bảo trì công trình xây dựng trên địa bàn thành phố Hà Nội</w:t>
            </w:r>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r w:rsidR="00173878" w:rsidRPr="00552CD5" w:rsidTr="0029787D">
        <w:trPr>
          <w:trHeight w:val="343"/>
        </w:trPr>
        <w:tc>
          <w:tcPr>
            <w:tcW w:w="710" w:type="dxa"/>
            <w:vAlign w:val="center"/>
          </w:tcPr>
          <w:p w:rsidR="00173878" w:rsidRPr="002A416D" w:rsidRDefault="00173878" w:rsidP="0029787D">
            <w:pPr>
              <w:numPr>
                <w:ilvl w:val="0"/>
                <w:numId w:val="1"/>
              </w:numPr>
              <w:tabs>
                <w:tab w:val="clear" w:pos="720"/>
              </w:tabs>
              <w:spacing w:before="60" w:after="60"/>
              <w:ind w:left="0" w:firstLine="0"/>
              <w:rPr>
                <w:sz w:val="24"/>
                <w:szCs w:val="24"/>
              </w:rPr>
            </w:pPr>
          </w:p>
        </w:tc>
        <w:tc>
          <w:tcPr>
            <w:tcW w:w="10773" w:type="dxa"/>
            <w:vAlign w:val="center"/>
          </w:tcPr>
          <w:p w:rsidR="00173878" w:rsidRPr="002A416D" w:rsidRDefault="00173878" w:rsidP="0029787D">
            <w:pPr>
              <w:spacing w:before="60" w:after="60"/>
              <w:jc w:val="both"/>
              <w:rPr>
                <w:sz w:val="24"/>
                <w:szCs w:val="24"/>
              </w:rPr>
            </w:pPr>
            <w:r w:rsidRPr="002A416D">
              <w:rPr>
                <w:sz w:val="24"/>
                <w:szCs w:val="24"/>
              </w:rPr>
              <w:t>Quyết định</w:t>
            </w:r>
            <w:r>
              <w:rPr>
                <w:sz w:val="24"/>
                <w:szCs w:val="24"/>
              </w:rPr>
              <w:t xml:space="preserve"> số </w:t>
            </w:r>
            <w:r w:rsidRPr="002A416D">
              <w:rPr>
                <w:sz w:val="24"/>
                <w:szCs w:val="24"/>
              </w:rPr>
              <w:t>11/2016/QĐ-UBND ngày 04/4/2016 của UBND Thành phố</w:t>
            </w:r>
            <w:r>
              <w:rPr>
                <w:sz w:val="24"/>
                <w:szCs w:val="24"/>
              </w:rPr>
              <w:t xml:space="preserve"> Hà Nội </w:t>
            </w:r>
            <w:hyperlink r:id="rId14" w:history="1">
              <w:r>
                <w:rPr>
                  <w:sz w:val="24"/>
                  <w:szCs w:val="24"/>
                </w:rPr>
                <w:t>v</w:t>
              </w:r>
              <w:r w:rsidRPr="002A416D">
                <w:rPr>
                  <w:sz w:val="24"/>
                  <w:szCs w:val="24"/>
                </w:rPr>
                <w:t>ề việc ban hành Quy chế quản lý quy hoạch, kiến trúc công trình cao tầng trong khu vực nội đô lịch sử Thành phố Hà Nội</w:t>
              </w:r>
            </w:hyperlink>
          </w:p>
        </w:tc>
        <w:tc>
          <w:tcPr>
            <w:tcW w:w="3260" w:type="dxa"/>
            <w:vAlign w:val="center"/>
          </w:tcPr>
          <w:p w:rsidR="00173878" w:rsidRPr="009B03AE" w:rsidRDefault="00173878" w:rsidP="0029787D">
            <w:pPr>
              <w:spacing w:before="60" w:after="60"/>
              <w:jc w:val="center"/>
            </w:pPr>
            <w:r w:rsidRPr="00FC4056">
              <w:rPr>
                <w:sz w:val="24"/>
                <w:szCs w:val="24"/>
              </w:rPr>
              <w:t>UBND thành phố Hà Nội</w:t>
            </w:r>
          </w:p>
        </w:tc>
      </w:tr>
    </w:tbl>
    <w:p w:rsidR="00173878" w:rsidRDefault="00173878" w:rsidP="00173878">
      <w:pPr>
        <w:spacing w:line="276" w:lineRule="auto"/>
      </w:pPr>
    </w:p>
    <w:p w:rsidR="00173878" w:rsidRDefault="00173878" w:rsidP="00173878">
      <w:pPr>
        <w:spacing w:before="120" w:line="276" w:lineRule="auto"/>
        <w:rPr>
          <w:b/>
        </w:rPr>
      </w:pPr>
    </w:p>
    <w:p w:rsidR="00173878" w:rsidRDefault="00173878" w:rsidP="00173878">
      <w:pPr>
        <w:spacing w:before="120" w:line="276" w:lineRule="auto"/>
        <w:rPr>
          <w:b/>
        </w:rPr>
      </w:pPr>
    </w:p>
    <w:p w:rsidR="00173878" w:rsidRDefault="00173878" w:rsidP="00173878">
      <w:pPr>
        <w:spacing w:before="120" w:line="276" w:lineRule="auto"/>
        <w:rPr>
          <w:b/>
        </w:rPr>
      </w:pPr>
    </w:p>
    <w:p w:rsidR="00173878" w:rsidRDefault="00173878" w:rsidP="00173878">
      <w:pPr>
        <w:spacing w:before="120" w:line="276" w:lineRule="auto"/>
        <w:rPr>
          <w:b/>
        </w:rPr>
      </w:pPr>
    </w:p>
    <w:p w:rsidR="00173878" w:rsidRDefault="00173878" w:rsidP="00173878"/>
    <w:p w:rsidR="00084F65" w:rsidRDefault="004A7BE8"/>
    <w:sectPr w:rsidR="00084F65" w:rsidSect="004E1E41">
      <w:footerReference w:type="even" r:id="rId15"/>
      <w:footerReference w:type="default" r:id="rId16"/>
      <w:footnotePr>
        <w:numRestart w:val="eachPage"/>
      </w:footnotePr>
      <w:pgSz w:w="16840" w:h="11907" w:orient="landscape"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E8" w:rsidRDefault="004A7BE8">
      <w:r>
        <w:separator/>
      </w:r>
    </w:p>
  </w:endnote>
  <w:endnote w:type="continuationSeparator" w:id="0">
    <w:p w:rsidR="004A7BE8" w:rsidRDefault="004A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35" w:rsidRDefault="000D4EB2"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335" w:rsidRDefault="004A7BE8" w:rsidP="00CE13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35" w:rsidRDefault="000D4EB2"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F67">
      <w:rPr>
        <w:rStyle w:val="PageNumber"/>
        <w:noProof/>
      </w:rPr>
      <w:t>1</w:t>
    </w:r>
    <w:r>
      <w:rPr>
        <w:rStyle w:val="PageNumber"/>
      </w:rPr>
      <w:fldChar w:fldCharType="end"/>
    </w:r>
  </w:p>
  <w:p w:rsidR="00CE1335" w:rsidRDefault="004A7BE8" w:rsidP="00CE13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E8" w:rsidRDefault="004A7BE8">
      <w:r>
        <w:separator/>
      </w:r>
    </w:p>
  </w:footnote>
  <w:footnote w:type="continuationSeparator" w:id="0">
    <w:p w:rsidR="004A7BE8" w:rsidRDefault="004A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C6B"/>
    <w:multiLevelType w:val="multilevel"/>
    <w:tmpl w:val="7D603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8"/>
    <w:rsid w:val="000D4EB2"/>
    <w:rsid w:val="00173878"/>
    <w:rsid w:val="004A7BE8"/>
    <w:rsid w:val="005E5D6E"/>
    <w:rsid w:val="009D7100"/>
    <w:rsid w:val="00A9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3878"/>
  </w:style>
  <w:style w:type="paragraph" w:styleId="Footer">
    <w:name w:val="footer"/>
    <w:basedOn w:val="Normal"/>
    <w:link w:val="FooterChar"/>
    <w:rsid w:val="00173878"/>
    <w:pPr>
      <w:tabs>
        <w:tab w:val="center" w:pos="4320"/>
        <w:tab w:val="right" w:pos="8640"/>
      </w:tabs>
    </w:pPr>
    <w:rPr>
      <w:sz w:val="24"/>
      <w:szCs w:val="24"/>
    </w:rPr>
  </w:style>
  <w:style w:type="character" w:customStyle="1" w:styleId="FooterChar">
    <w:name w:val="Footer Char"/>
    <w:basedOn w:val="DefaultParagraphFont"/>
    <w:link w:val="Footer"/>
    <w:rsid w:val="001738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3878"/>
  </w:style>
  <w:style w:type="paragraph" w:styleId="Footer">
    <w:name w:val="footer"/>
    <w:basedOn w:val="Normal"/>
    <w:link w:val="FooterChar"/>
    <w:rsid w:val="00173878"/>
    <w:pPr>
      <w:tabs>
        <w:tab w:val="center" w:pos="4320"/>
        <w:tab w:val="right" w:pos="8640"/>
      </w:tabs>
    </w:pPr>
    <w:rPr>
      <w:sz w:val="24"/>
      <w:szCs w:val="24"/>
    </w:rPr>
  </w:style>
  <w:style w:type="character" w:customStyle="1" w:styleId="FooterChar">
    <w:name w:val="Footer Char"/>
    <w:basedOn w:val="DefaultParagraphFont"/>
    <w:link w:val="Footer"/>
    <w:rsid w:val="001738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au-tu/Nghi-quyet-16-2013-NQ-HDND-dau-tu-xay-dung-cong-trinh-van-hoa-cong-vien-Thu-do-202065.aspx" TargetMode="External"/><Relationship Id="rId13" Type="http://schemas.openxmlformats.org/officeDocument/2006/relationships/hyperlink" Target="http://thuvienphapluat.vn/van-ban/Dau-tu/Quyet-dinh-26-2015-QD-UBND-huy-dong-dong-gop-xay-dung-cong-trinh-van-hoa-cong-vien-Ha-Noi-290636.aspx"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thuvienphapluat.vn/van-ban/Xay-dung-Do-thi/Quyet-dinh-24-2015-QD-UBND-Quy-che-quan-ly-quy-hoach-kien-truc-khu-pho-cu-Ha-Noi-290781.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van-ban/Giao-duc/Quyet-dinh-21-2013-QD-UBND-bo-sung-chuong-trinh-giang-day-nang-cao-Ha-Noi-196349.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uvienphapluat.vn/van-ban/Giao-duc/Quyet-dinh-20-2013-QD-UBND-co-so-vat-chat-giao-vien-chuong-trinh-mam-non-Ha-Noi-204730.aspx"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thuvienphapluat.vn/van-ban/Van-hoa-Xa-hoi/Nghi-quyet-24-2013-NQ-HDND-pho-co-lang-nghe-truyen-thong-di-san-van-hoa-phi-vat-the-can-bao-ton-Ha-Noi-221466.aspx" TargetMode="External"/><Relationship Id="rId14" Type="http://schemas.openxmlformats.org/officeDocument/2006/relationships/hyperlink" Target="http://luatvietnam.vn/VL/662/Quyet-dinh-112016QDUBND-cua-Uy-ban-nhan-dan-Thanh-pho-Ha-Noi-ve-viec-ban-hanh-Quy-che-quan-ly-quy-ho/ED3482CD-C298-448B-B728-169EE574D5B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1703C-DD27-403A-8BE9-ED6A0271A386}"/>
</file>

<file path=customXml/itemProps2.xml><?xml version="1.0" encoding="utf-8"?>
<ds:datastoreItem xmlns:ds="http://schemas.openxmlformats.org/officeDocument/2006/customXml" ds:itemID="{71C5186C-FF54-4359-9FB7-995B4B1E3E87}"/>
</file>

<file path=customXml/itemProps3.xml><?xml version="1.0" encoding="utf-8"?>
<ds:datastoreItem xmlns:ds="http://schemas.openxmlformats.org/officeDocument/2006/customXml" ds:itemID="{03DBB072-8B4E-416C-8487-F801E3516845}"/>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2017-04-18T09:08:00Z</dcterms:created>
  <dcterms:modified xsi:type="dcterms:W3CDTF">2017-04-19T02:04:00Z</dcterms:modified>
</cp:coreProperties>
</file>